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D0" w:rsidRPr="0023016F" w:rsidRDefault="00CF6BD0">
      <w:pPr>
        <w:pStyle w:val="Ttulo"/>
        <w:jc w:val="both"/>
        <w:rPr>
          <w:rFonts w:ascii="Times New Roman" w:hAnsi="Times New Roman"/>
          <w:b w:val="0"/>
        </w:rPr>
      </w:pPr>
      <w:r w:rsidRPr="0023016F">
        <w:rPr>
          <w:rFonts w:ascii="Times New Roman" w:hAnsi="Times New Roman"/>
          <w:b w:val="0"/>
        </w:rPr>
        <w:t>LEI N</w:t>
      </w:r>
      <w:r w:rsidRPr="0023016F">
        <w:rPr>
          <w:rFonts w:ascii="Times New Roman" w:hAnsi="Times New Roman"/>
          <w:b w:val="0"/>
          <w:strike/>
        </w:rPr>
        <w:t>º</w:t>
      </w:r>
      <w:r w:rsidR="00770015" w:rsidRPr="0023016F">
        <w:rPr>
          <w:rFonts w:ascii="Times New Roman" w:hAnsi="Times New Roman"/>
          <w:b w:val="0"/>
        </w:rPr>
        <w:t xml:space="preserve"> 15.939, de 20 de dezembro de 2012</w:t>
      </w:r>
    </w:p>
    <w:p w:rsidR="00CF6BD0" w:rsidRPr="0023016F" w:rsidRDefault="00CF6BD0">
      <w:pPr>
        <w:pStyle w:val="Ttulo"/>
        <w:ind w:firstLine="2608"/>
        <w:jc w:val="both"/>
        <w:rPr>
          <w:rFonts w:ascii="Times New Roman" w:hAnsi="Times New Roman"/>
          <w:b w:val="0"/>
        </w:rPr>
      </w:pPr>
    </w:p>
    <w:p w:rsidR="0023016F" w:rsidRPr="0023016F" w:rsidRDefault="0023016F" w:rsidP="0023016F">
      <w:pPr>
        <w:ind w:left="5670" w:right="-568"/>
        <w:jc w:val="both"/>
        <w:rPr>
          <w:rFonts w:ascii="Times New Roman" w:hAnsi="Times New Roman"/>
          <w:sz w:val="20"/>
        </w:rPr>
      </w:pPr>
      <w:r w:rsidRPr="0023016F">
        <w:rPr>
          <w:rFonts w:ascii="Times New Roman" w:hAnsi="Times New Roman"/>
          <w:sz w:val="20"/>
        </w:rPr>
        <w:t xml:space="preserve">Procedência: Mesa </w:t>
      </w:r>
      <w:r w:rsidRPr="0023016F">
        <w:rPr>
          <w:rFonts w:ascii="Times New Roman" w:hAnsi="Times New Roman"/>
          <w:color w:val="auto"/>
          <w:sz w:val="20"/>
        </w:rPr>
        <w:t>Legislativa</w:t>
      </w:r>
      <w:r w:rsidRPr="0023016F">
        <w:rPr>
          <w:rFonts w:ascii="Times New Roman" w:hAnsi="Times New Roman"/>
          <w:sz w:val="20"/>
        </w:rPr>
        <w:t xml:space="preserve"> </w:t>
      </w:r>
    </w:p>
    <w:p w:rsidR="0023016F" w:rsidRPr="0023016F" w:rsidRDefault="0023016F" w:rsidP="0023016F">
      <w:pPr>
        <w:ind w:right="-568" w:firstLine="5670"/>
        <w:rPr>
          <w:rFonts w:ascii="Times New Roman" w:hAnsi="Times New Roman"/>
          <w:sz w:val="20"/>
        </w:rPr>
      </w:pPr>
      <w:r w:rsidRPr="0023016F">
        <w:rPr>
          <w:rFonts w:ascii="Times New Roman" w:hAnsi="Times New Roman"/>
          <w:sz w:val="20"/>
        </w:rPr>
        <w:t>Natureza</w:t>
      </w:r>
      <w:r w:rsidRPr="004A2977">
        <w:rPr>
          <w:rFonts w:ascii="Times New Roman" w:hAnsi="Times New Roman"/>
          <w:sz w:val="20"/>
        </w:rPr>
        <w:t xml:space="preserve">: </w:t>
      </w:r>
      <w:hyperlink r:id="rId6" w:history="1">
        <w:r w:rsidRPr="004A2977">
          <w:rPr>
            <w:rFonts w:ascii="Times New Roman" w:hAnsi="Times New Roman"/>
            <w:bCs/>
            <w:color w:val="0000FF"/>
            <w:sz w:val="20"/>
          </w:rPr>
          <w:t>PL./0391.7/2012</w:t>
        </w:r>
      </w:hyperlink>
    </w:p>
    <w:p w:rsidR="0023016F" w:rsidRPr="0023016F" w:rsidRDefault="0023016F" w:rsidP="0023016F">
      <w:pPr>
        <w:tabs>
          <w:tab w:val="left" w:pos="8085"/>
        </w:tabs>
        <w:ind w:right="-568" w:firstLine="5670"/>
        <w:rPr>
          <w:rFonts w:ascii="Times New Roman" w:hAnsi="Times New Roman"/>
          <w:sz w:val="20"/>
        </w:rPr>
      </w:pPr>
      <w:r w:rsidRPr="0023016F">
        <w:rPr>
          <w:rFonts w:ascii="Times New Roman" w:hAnsi="Times New Roman"/>
          <w:sz w:val="20"/>
        </w:rPr>
        <w:t xml:space="preserve">DO: </w:t>
      </w:r>
      <w:r>
        <w:rPr>
          <w:rFonts w:ascii="Times New Roman" w:hAnsi="Times New Roman"/>
          <w:sz w:val="20"/>
        </w:rPr>
        <w:t>19.483 de 21/12/12</w:t>
      </w:r>
    </w:p>
    <w:p w:rsidR="0023016F" w:rsidRPr="0023016F" w:rsidRDefault="0023016F" w:rsidP="0023016F">
      <w:pPr>
        <w:pStyle w:val="Ttulo"/>
        <w:ind w:left="5670" w:right="-568"/>
        <w:jc w:val="both"/>
        <w:rPr>
          <w:rFonts w:ascii="Times New Roman" w:hAnsi="Times New Roman"/>
          <w:b w:val="0"/>
          <w:sz w:val="20"/>
        </w:rPr>
      </w:pPr>
      <w:r w:rsidRPr="0023016F">
        <w:rPr>
          <w:rFonts w:ascii="Times New Roman" w:hAnsi="Times New Roman"/>
          <w:b w:val="0"/>
          <w:sz w:val="20"/>
        </w:rPr>
        <w:t>Fonte - ALESC/Coord. Documentação</w:t>
      </w:r>
    </w:p>
    <w:p w:rsidR="0023016F" w:rsidRDefault="0023016F" w:rsidP="0023016F">
      <w:pPr>
        <w:ind w:left="1701" w:right="-568"/>
        <w:jc w:val="both"/>
        <w:rPr>
          <w:rFonts w:ascii="Times New Roman" w:hAnsi="Times New Roman"/>
          <w:color w:val="auto"/>
          <w:sz w:val="24"/>
          <w:szCs w:val="24"/>
        </w:rPr>
      </w:pPr>
    </w:p>
    <w:p w:rsidR="009D189A" w:rsidRPr="0023016F" w:rsidRDefault="004B5F3F" w:rsidP="0023016F">
      <w:pPr>
        <w:ind w:left="1701" w:right="-568"/>
        <w:jc w:val="both"/>
        <w:rPr>
          <w:rFonts w:ascii="Times New Roman" w:hAnsi="Times New Roman"/>
          <w:color w:val="auto"/>
          <w:sz w:val="24"/>
          <w:szCs w:val="24"/>
        </w:rPr>
      </w:pPr>
      <w:r w:rsidRPr="0023016F">
        <w:rPr>
          <w:rFonts w:ascii="Times New Roman" w:hAnsi="Times New Roman"/>
          <w:color w:val="auto"/>
          <w:sz w:val="24"/>
          <w:szCs w:val="24"/>
        </w:rPr>
        <w:t>Dispõe sobre a simetria do valor do auxílio-moradia e adota outras providências</w:t>
      </w:r>
      <w:r w:rsidR="009D189A" w:rsidRPr="0023016F">
        <w:rPr>
          <w:rFonts w:ascii="Times New Roman" w:hAnsi="Times New Roman"/>
          <w:color w:val="auto"/>
          <w:sz w:val="24"/>
          <w:szCs w:val="24"/>
        </w:rPr>
        <w:t>.</w:t>
      </w:r>
    </w:p>
    <w:p w:rsidR="009D189A" w:rsidRPr="0023016F" w:rsidRDefault="009D189A" w:rsidP="0023016F">
      <w:pPr>
        <w:ind w:left="1701" w:right="-568" w:firstLine="2608"/>
        <w:jc w:val="both"/>
        <w:rPr>
          <w:rFonts w:ascii="Times New Roman" w:hAnsi="Times New Roman"/>
          <w:color w:val="auto"/>
          <w:sz w:val="24"/>
          <w:szCs w:val="24"/>
        </w:rPr>
      </w:pPr>
    </w:p>
    <w:p w:rsidR="009D189A" w:rsidRPr="0023016F" w:rsidRDefault="009D189A" w:rsidP="0023016F">
      <w:pPr>
        <w:ind w:left="1701" w:right="-568"/>
        <w:jc w:val="both"/>
        <w:rPr>
          <w:rFonts w:ascii="Times New Roman" w:hAnsi="Times New Roman"/>
          <w:color w:val="auto"/>
          <w:sz w:val="24"/>
          <w:szCs w:val="24"/>
        </w:rPr>
      </w:pPr>
      <w:r w:rsidRPr="0023016F">
        <w:rPr>
          <w:rFonts w:ascii="Times New Roman" w:hAnsi="Times New Roman"/>
          <w:color w:val="auto"/>
          <w:sz w:val="24"/>
          <w:szCs w:val="24"/>
        </w:rPr>
        <w:t>O GOVERNADOR DO ESTADO DE SANTA CATARINA,</w:t>
      </w:r>
    </w:p>
    <w:p w:rsidR="009D189A" w:rsidRPr="0023016F" w:rsidRDefault="009D189A" w:rsidP="0023016F">
      <w:pPr>
        <w:ind w:left="567" w:right="-568" w:firstLine="1134"/>
        <w:jc w:val="both"/>
        <w:rPr>
          <w:rFonts w:ascii="Times New Roman" w:hAnsi="Times New Roman"/>
          <w:color w:val="auto"/>
          <w:sz w:val="24"/>
          <w:szCs w:val="24"/>
        </w:rPr>
      </w:pPr>
      <w:r w:rsidRPr="0023016F">
        <w:rPr>
          <w:rFonts w:ascii="Times New Roman" w:hAnsi="Times New Roman"/>
          <w:color w:val="auto"/>
          <w:sz w:val="24"/>
          <w:szCs w:val="24"/>
        </w:rPr>
        <w:t>Faço saber a todos os habitantes deste Estado que a Assembleia Legislativa decreta e eu sanciono a seguinte Lei:</w:t>
      </w:r>
    </w:p>
    <w:p w:rsidR="009D189A" w:rsidRPr="0023016F" w:rsidRDefault="009D189A" w:rsidP="0023016F">
      <w:pPr>
        <w:ind w:left="1701" w:right="-568" w:firstLine="2608"/>
        <w:jc w:val="both"/>
        <w:rPr>
          <w:rFonts w:ascii="Times New Roman" w:hAnsi="Times New Roman"/>
          <w:color w:val="auto"/>
          <w:sz w:val="24"/>
          <w:szCs w:val="24"/>
        </w:rPr>
      </w:pPr>
    </w:p>
    <w:p w:rsidR="004B5F3F" w:rsidRPr="0023016F" w:rsidRDefault="009D189A" w:rsidP="0023016F">
      <w:pPr>
        <w:ind w:left="567" w:right="-568" w:firstLine="1134"/>
        <w:jc w:val="both"/>
        <w:rPr>
          <w:rFonts w:ascii="Times New Roman" w:hAnsi="Times New Roman"/>
          <w:color w:val="auto"/>
          <w:sz w:val="24"/>
          <w:szCs w:val="24"/>
        </w:rPr>
      </w:pPr>
      <w:r w:rsidRPr="0023016F">
        <w:rPr>
          <w:rFonts w:ascii="Times New Roman" w:hAnsi="Times New Roman"/>
          <w:color w:val="auto"/>
          <w:sz w:val="24"/>
          <w:szCs w:val="24"/>
        </w:rPr>
        <w:t>Art. 1</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w:t>
      </w:r>
      <w:r w:rsidR="004B5F3F" w:rsidRPr="0023016F">
        <w:rPr>
          <w:rFonts w:ascii="Times New Roman" w:hAnsi="Times New Roman"/>
          <w:color w:val="auto"/>
          <w:sz w:val="24"/>
          <w:szCs w:val="24"/>
        </w:rPr>
        <w:t>O valor do auxílio-moradia de caráter indenizatório devido aos membros ativos do Poder Legislativo, Poder Judiciário, Ministério Público e Tribunal de Contas, do Estado de Santa Catarina, terá como base de cálculo o valor de idêntico benefício concedido aos Ministros do Supremo Tribunal Federal, nos termos da ata da Quinta Sessão Administrativa do Supremo Tribunal Federal, de 21 de setembro de 2011, com efeitos a partir daquela deliberação.</w:t>
      </w:r>
    </w:p>
    <w:p w:rsidR="004B5F3F" w:rsidRPr="0023016F" w:rsidRDefault="004B5F3F" w:rsidP="0023016F">
      <w:pPr>
        <w:ind w:left="567" w:right="-568" w:firstLine="1134"/>
        <w:jc w:val="both"/>
        <w:rPr>
          <w:rFonts w:ascii="Times New Roman" w:hAnsi="Times New Roman"/>
          <w:color w:val="auto"/>
          <w:sz w:val="24"/>
          <w:szCs w:val="24"/>
        </w:rPr>
      </w:pPr>
      <w:r w:rsidRPr="0023016F">
        <w:rPr>
          <w:rFonts w:ascii="Times New Roman" w:hAnsi="Times New Roman"/>
          <w:color w:val="auto"/>
          <w:sz w:val="24"/>
          <w:szCs w:val="24"/>
        </w:rPr>
        <w:t>§ 1</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O valor do benefício não poderá ser superior àquele concedido ao cargo de Desembargador e, no âmbito do Poder Judiciário, seguirá o escalonamento constitucional do art. 93, inciso V, da Constituição Federal, na forma do art. 14 da Lei Complementar n</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367, de 07 de dezembro de 2006, e, no âmbito do Ministério Público, o disposto no § 4</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do art. 129 da Constituição Federal e dos arts. 162 e 163 da Lei Complementar n</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197, de 13 de julho de 2000.</w:t>
      </w:r>
    </w:p>
    <w:p w:rsidR="004B5F3F" w:rsidRPr="0023016F" w:rsidRDefault="004B5F3F" w:rsidP="0023016F">
      <w:pPr>
        <w:ind w:left="567" w:right="-568" w:firstLine="1134"/>
        <w:jc w:val="both"/>
        <w:rPr>
          <w:rFonts w:ascii="Times New Roman" w:hAnsi="Times New Roman"/>
          <w:color w:val="auto"/>
          <w:sz w:val="24"/>
          <w:szCs w:val="24"/>
        </w:rPr>
      </w:pPr>
      <w:r w:rsidRPr="0023016F">
        <w:rPr>
          <w:rFonts w:ascii="Times New Roman" w:hAnsi="Times New Roman"/>
          <w:color w:val="auto"/>
          <w:sz w:val="24"/>
          <w:szCs w:val="24"/>
        </w:rPr>
        <w:t>§ 2</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O benefício constitui parcela fixa mensal indenizatória decorrente do exercício de cargo público, é de caráter permanente e será auferido sempre que o integrante do Poder ou Órgão não ocupe residência oficial.</w:t>
      </w:r>
    </w:p>
    <w:p w:rsidR="004B5F3F" w:rsidRPr="0023016F" w:rsidRDefault="004B5F3F" w:rsidP="0023016F">
      <w:pPr>
        <w:ind w:left="1701" w:right="-568"/>
        <w:jc w:val="both"/>
        <w:rPr>
          <w:rFonts w:ascii="Times New Roman" w:hAnsi="Times New Roman"/>
          <w:color w:val="auto"/>
          <w:sz w:val="24"/>
          <w:szCs w:val="24"/>
        </w:rPr>
      </w:pPr>
    </w:p>
    <w:p w:rsidR="004B5F3F" w:rsidRPr="0023016F" w:rsidRDefault="004B5F3F" w:rsidP="0023016F">
      <w:pPr>
        <w:ind w:left="567" w:right="-568" w:firstLine="1134"/>
        <w:jc w:val="both"/>
        <w:rPr>
          <w:rFonts w:ascii="Times New Roman" w:hAnsi="Times New Roman"/>
          <w:color w:val="auto"/>
          <w:sz w:val="24"/>
          <w:szCs w:val="24"/>
        </w:rPr>
      </w:pPr>
      <w:r w:rsidRPr="0023016F">
        <w:rPr>
          <w:rFonts w:ascii="Times New Roman" w:hAnsi="Times New Roman"/>
          <w:color w:val="auto"/>
          <w:sz w:val="24"/>
          <w:szCs w:val="24"/>
        </w:rPr>
        <w:t>Art. 2</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As despesas decorrentes desta Lei correrão à conta do orçamento dos respectivos Poderes e instituições.</w:t>
      </w:r>
    </w:p>
    <w:p w:rsidR="0023016F" w:rsidRPr="0023016F" w:rsidRDefault="0023016F" w:rsidP="0023016F">
      <w:pPr>
        <w:ind w:left="1701" w:right="-568"/>
        <w:jc w:val="both"/>
        <w:rPr>
          <w:rFonts w:ascii="Times New Roman" w:hAnsi="Times New Roman"/>
          <w:color w:val="auto"/>
          <w:sz w:val="24"/>
          <w:szCs w:val="24"/>
        </w:rPr>
      </w:pPr>
    </w:p>
    <w:p w:rsidR="004B5F3F" w:rsidRPr="0023016F" w:rsidRDefault="004B5F3F" w:rsidP="0023016F">
      <w:pPr>
        <w:ind w:left="1701" w:right="-568"/>
        <w:jc w:val="both"/>
        <w:rPr>
          <w:rFonts w:ascii="Times New Roman" w:hAnsi="Times New Roman"/>
          <w:color w:val="auto"/>
          <w:sz w:val="24"/>
          <w:szCs w:val="24"/>
        </w:rPr>
      </w:pPr>
      <w:r w:rsidRPr="0023016F">
        <w:rPr>
          <w:rFonts w:ascii="Times New Roman" w:hAnsi="Times New Roman"/>
          <w:color w:val="auto"/>
          <w:sz w:val="24"/>
          <w:szCs w:val="24"/>
        </w:rPr>
        <w:t>Art. 3</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Esta Lei entra em vigor na data de sua publicação.</w:t>
      </w:r>
    </w:p>
    <w:p w:rsidR="004B5F3F" w:rsidRPr="0023016F" w:rsidRDefault="004B5F3F" w:rsidP="0023016F">
      <w:pPr>
        <w:ind w:left="1701" w:right="-568"/>
        <w:jc w:val="both"/>
        <w:rPr>
          <w:rFonts w:ascii="Times New Roman" w:hAnsi="Times New Roman"/>
          <w:color w:val="auto"/>
          <w:sz w:val="24"/>
          <w:szCs w:val="24"/>
        </w:rPr>
      </w:pPr>
    </w:p>
    <w:p w:rsidR="00CF6BD0" w:rsidRPr="0023016F" w:rsidRDefault="004B5F3F" w:rsidP="0023016F">
      <w:pPr>
        <w:ind w:left="1701" w:right="-568"/>
        <w:jc w:val="both"/>
        <w:rPr>
          <w:rStyle w:val="Forte"/>
          <w:rFonts w:ascii="Times New Roman" w:hAnsi="Times New Roman"/>
          <w:b w:val="0"/>
          <w:bCs/>
          <w:color w:val="auto"/>
          <w:sz w:val="24"/>
          <w:szCs w:val="24"/>
        </w:rPr>
      </w:pPr>
      <w:r w:rsidRPr="0023016F">
        <w:rPr>
          <w:rFonts w:ascii="Times New Roman" w:hAnsi="Times New Roman"/>
          <w:color w:val="auto"/>
          <w:sz w:val="24"/>
          <w:szCs w:val="24"/>
        </w:rPr>
        <w:t>Art. 4</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Fica revogada a Lei n</w:t>
      </w:r>
      <w:r w:rsidRPr="0023016F">
        <w:rPr>
          <w:rFonts w:ascii="Times New Roman" w:hAnsi="Times New Roman"/>
          <w:strike/>
          <w:color w:val="auto"/>
          <w:sz w:val="24"/>
          <w:szCs w:val="24"/>
        </w:rPr>
        <w:t>º</w:t>
      </w:r>
      <w:r w:rsidRPr="0023016F">
        <w:rPr>
          <w:rFonts w:ascii="Times New Roman" w:hAnsi="Times New Roman"/>
          <w:color w:val="auto"/>
          <w:sz w:val="24"/>
          <w:szCs w:val="24"/>
        </w:rPr>
        <w:t xml:space="preserve"> 11.464, de 04 de julho de 2000</w:t>
      </w:r>
      <w:r w:rsidR="009D189A" w:rsidRPr="0023016F">
        <w:rPr>
          <w:rFonts w:ascii="Times New Roman" w:hAnsi="Times New Roman"/>
          <w:color w:val="auto"/>
          <w:sz w:val="24"/>
          <w:szCs w:val="24"/>
        </w:rPr>
        <w:t>.</w:t>
      </w:r>
    </w:p>
    <w:p w:rsidR="00864DBC" w:rsidRPr="0023016F" w:rsidRDefault="00864DBC" w:rsidP="0023016F">
      <w:pPr>
        <w:ind w:left="1701" w:right="-568" w:firstLine="2608"/>
        <w:jc w:val="both"/>
        <w:rPr>
          <w:rFonts w:ascii="Times New Roman" w:hAnsi="Times New Roman"/>
          <w:sz w:val="24"/>
          <w:szCs w:val="24"/>
        </w:rPr>
      </w:pPr>
    </w:p>
    <w:p w:rsidR="00CF6BD0" w:rsidRPr="0023016F" w:rsidRDefault="00CF6BD0" w:rsidP="0023016F">
      <w:pPr>
        <w:ind w:left="1701" w:right="-568" w:firstLine="2608"/>
        <w:jc w:val="both"/>
        <w:rPr>
          <w:rFonts w:ascii="Times New Roman" w:hAnsi="Times New Roman"/>
          <w:sz w:val="24"/>
        </w:rPr>
      </w:pPr>
      <w:r w:rsidRPr="0023016F">
        <w:rPr>
          <w:rFonts w:ascii="Times New Roman" w:hAnsi="Times New Roman"/>
          <w:sz w:val="24"/>
        </w:rPr>
        <w:t>Florianópolis,</w:t>
      </w:r>
      <w:r w:rsidR="00770015" w:rsidRPr="0023016F">
        <w:rPr>
          <w:rFonts w:ascii="Times New Roman" w:hAnsi="Times New Roman"/>
          <w:sz w:val="24"/>
        </w:rPr>
        <w:t xml:space="preserve"> 20 de dezembro de 2012</w:t>
      </w:r>
    </w:p>
    <w:p w:rsidR="00CF6BD0" w:rsidRPr="0023016F" w:rsidRDefault="00CF6BD0" w:rsidP="0023016F">
      <w:pPr>
        <w:pStyle w:val="A281071"/>
        <w:ind w:left="1701" w:right="-568" w:firstLine="2608"/>
      </w:pPr>
    </w:p>
    <w:p w:rsidR="00CF6BD0" w:rsidRPr="0023016F" w:rsidRDefault="001E3919" w:rsidP="0023016F">
      <w:pPr>
        <w:pStyle w:val="A281071"/>
        <w:ind w:left="567" w:right="-568" w:firstLine="0"/>
        <w:jc w:val="center"/>
        <w:rPr>
          <w:caps/>
        </w:rPr>
      </w:pPr>
      <w:r w:rsidRPr="0023016F">
        <w:rPr>
          <w:caps/>
        </w:rPr>
        <w:t>JOÃO RAIMUNDO COLOMBO</w:t>
      </w:r>
    </w:p>
    <w:p w:rsidR="00CF6BD0" w:rsidRPr="0023016F" w:rsidRDefault="00CF6BD0" w:rsidP="0023016F">
      <w:pPr>
        <w:ind w:left="567" w:right="-568"/>
        <w:jc w:val="center"/>
        <w:rPr>
          <w:rFonts w:ascii="Times New Roman" w:hAnsi="Times New Roman"/>
          <w:sz w:val="24"/>
        </w:rPr>
      </w:pPr>
      <w:r w:rsidRPr="0023016F">
        <w:rPr>
          <w:rFonts w:ascii="Times New Roman" w:hAnsi="Times New Roman"/>
          <w:sz w:val="24"/>
        </w:rPr>
        <w:t>Governador do Estado</w:t>
      </w:r>
    </w:p>
    <w:sectPr w:rsidR="00CF6BD0" w:rsidRPr="0023016F">
      <w:footerReference w:type="even" r:id="rId7"/>
      <w:pgSz w:w="11907" w:h="16840" w:code="9"/>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4B6" w:rsidRDefault="001714B6">
      <w:r>
        <w:separator/>
      </w:r>
    </w:p>
  </w:endnote>
  <w:endnote w:type="continuationSeparator" w:id="1">
    <w:p w:rsidR="001714B6" w:rsidRDefault="0017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uthern">
    <w:altName w:val="Georg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3F" w:rsidRDefault="004B5F3F" w:rsidP="0040790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B5F3F" w:rsidRDefault="004B5F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4B6" w:rsidRDefault="001714B6">
      <w:r>
        <w:separator/>
      </w:r>
    </w:p>
  </w:footnote>
  <w:footnote w:type="continuationSeparator" w:id="1">
    <w:p w:rsidR="001714B6" w:rsidRDefault="00171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6B74A8"/>
    <w:rsid w:val="000E4CAD"/>
    <w:rsid w:val="0011675E"/>
    <w:rsid w:val="001203E2"/>
    <w:rsid w:val="00143881"/>
    <w:rsid w:val="001443F4"/>
    <w:rsid w:val="001714B6"/>
    <w:rsid w:val="001E0390"/>
    <w:rsid w:val="001E3919"/>
    <w:rsid w:val="0023016F"/>
    <w:rsid w:val="002C5682"/>
    <w:rsid w:val="00317E84"/>
    <w:rsid w:val="0038221D"/>
    <w:rsid w:val="00397E63"/>
    <w:rsid w:val="003A35AB"/>
    <w:rsid w:val="00407907"/>
    <w:rsid w:val="00454A2C"/>
    <w:rsid w:val="00467E98"/>
    <w:rsid w:val="00487F18"/>
    <w:rsid w:val="004A2977"/>
    <w:rsid w:val="004B5F3F"/>
    <w:rsid w:val="005E540B"/>
    <w:rsid w:val="005E7AC1"/>
    <w:rsid w:val="0066160D"/>
    <w:rsid w:val="006B74A8"/>
    <w:rsid w:val="007030B6"/>
    <w:rsid w:val="00770015"/>
    <w:rsid w:val="007B165D"/>
    <w:rsid w:val="008131AA"/>
    <w:rsid w:val="008133CD"/>
    <w:rsid w:val="00864DBC"/>
    <w:rsid w:val="00892907"/>
    <w:rsid w:val="008C747F"/>
    <w:rsid w:val="00936B5C"/>
    <w:rsid w:val="009D189A"/>
    <w:rsid w:val="009E4591"/>
    <w:rsid w:val="00A0214F"/>
    <w:rsid w:val="00A11E88"/>
    <w:rsid w:val="00A92D40"/>
    <w:rsid w:val="00B16105"/>
    <w:rsid w:val="00B54712"/>
    <w:rsid w:val="00C50376"/>
    <w:rsid w:val="00C63A94"/>
    <w:rsid w:val="00CF6BD0"/>
    <w:rsid w:val="00D3301C"/>
    <w:rsid w:val="00D7685A"/>
    <w:rsid w:val="00DD76D2"/>
    <w:rsid w:val="00E252DD"/>
    <w:rsid w:val="00EA0D53"/>
    <w:rsid w:val="00EA3549"/>
    <w:rsid w:val="00F07262"/>
    <w:rsid w:val="00FB7F65"/>
    <w:rsid w:val="00FC3F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olor w:val="000000"/>
      <w:sz w:val="22"/>
    </w:rPr>
  </w:style>
  <w:style w:type="paragraph" w:styleId="Ttulo1">
    <w:name w:val="heading 1"/>
    <w:basedOn w:val="Normal"/>
    <w:next w:val="Normal"/>
    <w:qFormat/>
    <w:pPr>
      <w:keepNext/>
      <w:spacing w:line="-320" w:lineRule="auto"/>
      <w:jc w:val="center"/>
      <w:outlineLvl w:val="0"/>
    </w:pPr>
    <w:rPr>
      <w:rFonts w:ascii="Southern" w:hAnsi="Southern"/>
      <w:b/>
      <w:sz w:val="24"/>
    </w:rPr>
  </w:style>
  <w:style w:type="paragraph" w:styleId="Ttulo2">
    <w:name w:val="heading 2"/>
    <w:basedOn w:val="Normal"/>
    <w:next w:val="Normal"/>
    <w:qFormat/>
    <w:pPr>
      <w:keepNext/>
      <w:jc w:val="center"/>
      <w:outlineLvl w:val="1"/>
    </w:pPr>
    <w:rPr>
      <w:b/>
    </w:rPr>
  </w:style>
  <w:style w:type="paragraph" w:styleId="Ttulo3">
    <w:name w:val="heading 3"/>
    <w:basedOn w:val="Normal"/>
    <w:next w:val="LDB"/>
    <w:qFormat/>
    <w:pPr>
      <w:keepNext/>
      <w:spacing w:before="240" w:after="120"/>
      <w:jc w:val="center"/>
      <w:outlineLvl w:val="2"/>
    </w:pPr>
    <w:rPr>
      <w:rFonts w:ascii="Times New Roman" w:hAnsi="Times New Roman"/>
      <w:b/>
      <w:caps/>
      <w:color w:val="auto"/>
      <w:sz w:val="24"/>
      <w:u w:val="single"/>
    </w:rPr>
  </w:style>
  <w:style w:type="paragraph" w:styleId="Ttulo4">
    <w:name w:val="heading 4"/>
    <w:basedOn w:val="Normal"/>
    <w:next w:val="Normal"/>
    <w:qFormat/>
    <w:pPr>
      <w:keepNext/>
      <w:widowControl/>
      <w:spacing w:line="-320" w:lineRule="auto"/>
      <w:jc w:val="both"/>
      <w:outlineLvl w:val="3"/>
    </w:pPr>
    <w:rPr>
      <w:rFonts w:ascii="Southern" w:hAnsi="Southern"/>
      <w:b/>
      <w:sz w:val="24"/>
    </w:rPr>
  </w:style>
  <w:style w:type="paragraph" w:styleId="Ttulo5">
    <w:name w:val="heading 5"/>
    <w:basedOn w:val="Normal"/>
    <w:next w:val="Normal"/>
    <w:qFormat/>
    <w:pPr>
      <w:keepNext/>
      <w:ind w:firstLine="2155"/>
      <w:jc w:val="both"/>
      <w:outlineLvl w:val="4"/>
    </w:pPr>
    <w:rPr>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LDB">
    <w:name w:val="LDB"/>
    <w:basedOn w:val="Normal"/>
    <w:pPr>
      <w:spacing w:before="120" w:after="120"/>
      <w:jc w:val="both"/>
    </w:pPr>
    <w:rPr>
      <w:rFonts w:ascii="Times New Roman" w:hAnsi="Times New Roman"/>
      <w:color w:val="auto"/>
      <w:sz w:val="24"/>
    </w:rPr>
  </w:style>
  <w:style w:type="character" w:styleId="Nmerodepgina">
    <w:name w:val="page number"/>
    <w:basedOn w:val="Fontepargpadro"/>
  </w:style>
  <w:style w:type="paragraph" w:styleId="Cabealho">
    <w:name w:val="header"/>
    <w:basedOn w:val="Normal"/>
    <w:pPr>
      <w:tabs>
        <w:tab w:val="center" w:pos="4419"/>
        <w:tab w:val="right" w:pos="8838"/>
      </w:tabs>
    </w:pPr>
    <w:rPr>
      <w:color w:val="auto"/>
      <w:sz w:val="20"/>
    </w:rPr>
  </w:style>
  <w:style w:type="paragraph" w:styleId="Rodap">
    <w:name w:val="footer"/>
    <w:basedOn w:val="Normal"/>
    <w:pPr>
      <w:tabs>
        <w:tab w:val="center" w:pos="4419"/>
        <w:tab w:val="right" w:pos="8838"/>
      </w:tabs>
    </w:pPr>
    <w:rPr>
      <w:color w:val="auto"/>
      <w:sz w:val="20"/>
    </w:rPr>
  </w:style>
  <w:style w:type="paragraph" w:customStyle="1" w:styleId="BodyText2">
    <w:name w:val="Body Text 2"/>
    <w:basedOn w:val="Normal"/>
    <w:pPr>
      <w:ind w:firstLine="1843"/>
      <w:jc w:val="both"/>
    </w:pPr>
    <w:rPr>
      <w:rFonts w:ascii="Southern" w:hAnsi="Southern"/>
      <w:sz w:val="24"/>
    </w:rPr>
  </w:style>
  <w:style w:type="paragraph" w:customStyle="1" w:styleId="BodyTextIndent2">
    <w:name w:val="Body Text Indent 2"/>
    <w:basedOn w:val="Normal"/>
    <w:pPr>
      <w:ind w:firstLine="2489"/>
      <w:jc w:val="both"/>
    </w:pPr>
    <w:rPr>
      <w:rFonts w:ascii="Southern" w:hAnsi="Southern"/>
      <w:sz w:val="24"/>
    </w:rPr>
  </w:style>
  <w:style w:type="paragraph" w:customStyle="1" w:styleId="BodyTextIndent3">
    <w:name w:val="Body Text Indent 3"/>
    <w:basedOn w:val="Normal"/>
    <w:pPr>
      <w:ind w:firstLine="1843"/>
      <w:jc w:val="both"/>
    </w:pPr>
    <w:rPr>
      <w:rFonts w:ascii="Southern" w:hAnsi="Southern"/>
    </w:rPr>
  </w:style>
  <w:style w:type="paragraph" w:customStyle="1" w:styleId="A282868">
    <w:name w:val="_A282868"/>
    <w:pPr>
      <w:ind w:left="4032" w:right="1008"/>
      <w:jc w:val="both"/>
    </w:pPr>
    <w:rPr>
      <w:color w:val="000000"/>
      <w:sz w:val="24"/>
    </w:rPr>
  </w:style>
  <w:style w:type="paragraph" w:customStyle="1" w:styleId="A280168">
    <w:name w:val="_A280168"/>
    <w:pPr>
      <w:ind w:left="144" w:right="1008" w:firstLine="3888"/>
      <w:jc w:val="both"/>
    </w:pPr>
    <w:rPr>
      <w:color w:val="000000"/>
      <w:sz w:val="24"/>
    </w:rPr>
  </w:style>
  <w:style w:type="paragraph" w:customStyle="1" w:styleId="A011070">
    <w:name w:val="_A011070"/>
    <w:pPr>
      <w:ind w:left="1440" w:right="720" w:hanging="1296"/>
      <w:jc w:val="both"/>
    </w:pPr>
    <w:rPr>
      <w:color w:val="000000"/>
      <w:sz w:val="24"/>
    </w:rPr>
  </w:style>
  <w:style w:type="paragraph" w:customStyle="1" w:styleId="A101671">
    <w:name w:val="_A101671"/>
    <w:pPr>
      <w:ind w:left="2304" w:right="576" w:hanging="864"/>
      <w:jc w:val="both"/>
    </w:pPr>
    <w:rPr>
      <w:color w:val="000000"/>
      <w:sz w:val="24"/>
    </w:rPr>
  </w:style>
  <w:style w:type="paragraph" w:customStyle="1" w:styleId="A011071">
    <w:name w:val="_A011071"/>
    <w:pPr>
      <w:ind w:left="1440" w:right="576" w:hanging="1296"/>
      <w:jc w:val="both"/>
    </w:pPr>
    <w:rPr>
      <w:color w:val="000000"/>
      <w:sz w:val="24"/>
    </w:rPr>
  </w:style>
  <w:style w:type="paragraph" w:customStyle="1" w:styleId="A281071">
    <w:name w:val="_A281071"/>
    <w:pPr>
      <w:ind w:left="1440" w:right="576" w:firstLine="2592"/>
      <w:jc w:val="both"/>
    </w:pPr>
    <w:rPr>
      <w:color w:val="000000"/>
      <w:sz w:val="24"/>
    </w:rPr>
  </w:style>
  <w:style w:type="paragraph" w:styleId="Recuodecorpodetexto">
    <w:name w:val="Body Text Indent"/>
    <w:basedOn w:val="Normal"/>
    <w:pPr>
      <w:ind w:left="2438"/>
      <w:jc w:val="both"/>
    </w:pPr>
    <w:rPr>
      <w:rFonts w:ascii="Southern" w:hAnsi="Southern"/>
      <w:sz w:val="24"/>
    </w:rPr>
  </w:style>
  <w:style w:type="paragraph" w:styleId="Recuodecorpodetexto2">
    <w:name w:val="Body Text Indent 2"/>
    <w:basedOn w:val="Normal"/>
    <w:pPr>
      <w:ind w:left="2160" w:firstLine="11"/>
    </w:pPr>
    <w:rPr>
      <w:rFonts w:ascii="Southern" w:hAnsi="Southern"/>
      <w:sz w:val="24"/>
    </w:rPr>
  </w:style>
  <w:style w:type="paragraph" w:styleId="Recuodecorpodetexto3">
    <w:name w:val="Body Text Indent 3"/>
    <w:basedOn w:val="Normal"/>
    <w:pPr>
      <w:ind w:firstLine="2438"/>
      <w:jc w:val="both"/>
    </w:pPr>
    <w:rPr>
      <w:rFonts w:ascii="Southern" w:hAnsi="Southern"/>
      <w:sz w:val="24"/>
    </w:rPr>
  </w:style>
  <w:style w:type="paragraph" w:styleId="Ttulo">
    <w:name w:val="Title"/>
    <w:basedOn w:val="Normal"/>
    <w:link w:val="TtuloChar"/>
    <w:qFormat/>
    <w:pPr>
      <w:widowControl/>
      <w:jc w:val="center"/>
    </w:pPr>
    <w:rPr>
      <w:b/>
      <w:sz w:val="24"/>
    </w:rPr>
  </w:style>
  <w:style w:type="paragraph" w:styleId="Corpodetexto">
    <w:name w:val="Body Text"/>
    <w:basedOn w:val="Normal"/>
    <w:pPr>
      <w:widowControl/>
      <w:jc w:val="both"/>
    </w:pPr>
    <w:rPr>
      <w:rFonts w:ascii="Times New Roman" w:hAnsi="Times New Roman"/>
      <w:color w:val="auto"/>
      <w:sz w:val="24"/>
    </w:rPr>
  </w:style>
  <w:style w:type="character" w:styleId="Forte">
    <w:name w:val="Strong"/>
    <w:basedOn w:val="Fontepargpadro"/>
    <w:qFormat/>
    <w:rPr>
      <w:b/>
    </w:rPr>
  </w:style>
  <w:style w:type="paragraph" w:customStyle="1" w:styleId="BodyTextIndent">
    <w:name w:val="Body Text Indent"/>
    <w:basedOn w:val="Normal"/>
    <w:pPr>
      <w:widowControl/>
      <w:autoSpaceDE w:val="0"/>
      <w:autoSpaceDN w:val="0"/>
      <w:spacing w:after="120"/>
      <w:ind w:left="283"/>
      <w:jc w:val="both"/>
    </w:pPr>
    <w:rPr>
      <w:rFonts w:ascii="Times New Roman" w:hAnsi="Times New Roman"/>
      <w:color w:val="auto"/>
      <w:sz w:val="24"/>
      <w:szCs w:val="24"/>
    </w:rPr>
  </w:style>
  <w:style w:type="paragraph" w:styleId="Corpodetexto2">
    <w:name w:val="Body Text 2"/>
    <w:basedOn w:val="Normal"/>
    <w:pPr>
      <w:jc w:val="center"/>
    </w:pPr>
    <w:rPr>
      <w:rFonts w:ascii="Times New Roman" w:hAnsi="Times New Roman"/>
      <w:b/>
      <w:bCs/>
      <w:sz w:val="24"/>
      <w:szCs w:val="24"/>
    </w:rPr>
  </w:style>
  <w:style w:type="character" w:customStyle="1" w:styleId="TtuloChar">
    <w:name w:val="Título Char"/>
    <w:basedOn w:val="Fontepargpadro"/>
    <w:link w:val="Ttulo"/>
    <w:rsid w:val="0023016F"/>
    <w:rPr>
      <w:rFonts w:ascii="Arial" w:hAnsi="Arial"/>
      <w:b/>
      <w:color w:val="000000"/>
      <w:sz w:val="24"/>
    </w:rPr>
  </w:style>
  <w:style w:type="character" w:styleId="Hyperlink">
    <w:name w:val="Hyperlink"/>
    <w:basedOn w:val="Fontepargpadro"/>
    <w:uiPriority w:val="99"/>
    <w:unhideWhenUsed/>
    <w:rsid w:val="002301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sc.sc.gov.br/proclegis/individual.php?id=PL./0391.7/2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LEI Nº 15.939, de 20 de dezembro de 2012</vt:lpstr>
    </vt:vector>
  </TitlesOfParts>
  <Manager>lhvp</Manager>
  <Company>Assembleia Legislativa de Santa Catarina</Company>
  <LinksUpToDate>false</LinksUpToDate>
  <CharactersWithSpaces>1920</CharactersWithSpaces>
  <SharedDoc>false</SharedDoc>
  <HLinks>
    <vt:vector size="6" baseType="variant">
      <vt:variant>
        <vt:i4>7471162</vt:i4>
      </vt:variant>
      <vt:variant>
        <vt:i4>0</vt:i4>
      </vt:variant>
      <vt:variant>
        <vt:i4>0</vt:i4>
      </vt:variant>
      <vt:variant>
        <vt:i4>5</vt:i4>
      </vt:variant>
      <vt:variant>
        <vt:lpwstr>http://www.alesc.sc.gov.br/proclegis/individual.php?id=PL./0391.7/2012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15.939, de 20 de dezembro de 2012</dc:title>
  <dc:subject/>
  <dc:creator>Coordenadoria de Documentação</dc:creator>
  <cp:keywords>15939  auxílio-moradia</cp:keywords>
  <cp:lastModifiedBy>MAE6953</cp:lastModifiedBy>
  <cp:revision>2</cp:revision>
  <cp:lastPrinted>2008-11-05T18:48:00Z</cp:lastPrinted>
  <dcterms:created xsi:type="dcterms:W3CDTF">2013-02-13T19:54:00Z</dcterms:created>
  <dcterms:modified xsi:type="dcterms:W3CDTF">2013-02-13T19:54:00Z</dcterms:modified>
</cp:coreProperties>
</file>